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44"/>
        <w:gridCol w:w="4927"/>
      </w:tblGrid>
      <w:tr w:rsidR="00B02683" w:rsidTr="00B02683">
        <w:tc>
          <w:tcPr>
            <w:tcW w:w="4644" w:type="dxa"/>
          </w:tcPr>
          <w:p w:rsidR="00B02683" w:rsidRPr="00B02683" w:rsidRDefault="00B02683" w:rsidP="00B02683">
            <w:pPr>
              <w:pStyle w:val="Style18"/>
              <w:widowControl/>
              <w:spacing w:before="134" w:line="360" w:lineRule="auto"/>
              <w:rPr>
                <w:rStyle w:val="FontStyle19"/>
                <w:sz w:val="28"/>
                <w:szCs w:val="28"/>
                <w:lang w:val="de-DE" w:eastAsia="de-DE"/>
              </w:rPr>
            </w:pPr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 xml:space="preserve">Der Ermächtigung des Vorstandes, mit Zustimmung des Aufsichtsrats innerhalb von einem Jahr ab Eintragung der Satzungsänderung in das Finnenbuch das Grundkapital der Gesellschaft - auch in mehreren Tranchen - durch Ausgabe von bis zu Stück 3,000.000 neuer auf Inhaber lautender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>nennbetragsloser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 xml:space="preserve"> Stückaktien unter Ausschluss des den Aktionären zustehenden Bezugsrechts gegen Bareinlage zu erhöhen und den Ausgabekurs sowie die Ausgabebedingungen im Einvernehmen mit dem Aufsichtsrat festzusetzen (genehmigtes</w:t>
            </w:r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 xml:space="preserve">Kapital) wird zugestimmt; der Aufsichtsrat ist ermächtigt, Änderungen der Satzung, die sich durch Ausgabe von Aktien aus dem genehmigten Kapital ergeben, zu beschließen, sowie über die Änderung des § 4 der Satzung zu beschließen." </w:t>
            </w:r>
          </w:p>
          <w:p w:rsidR="00B02683" w:rsidRPr="00B02683" w:rsidRDefault="00B02683" w:rsidP="00B02683">
            <w:pPr>
              <w:pStyle w:val="Style18"/>
              <w:widowControl/>
              <w:spacing w:before="134" w:line="360" w:lineRule="auto"/>
              <w:rPr>
                <w:rStyle w:val="FontStyle19"/>
                <w:sz w:val="28"/>
                <w:szCs w:val="28"/>
                <w:lang w:val="de-DE" w:eastAsia="de-DE"/>
              </w:rPr>
            </w:pPr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>Der Vorsitzende bringt den Antrag nach Erörterung zur Abstimmung: dieser wird einstimmig angenommen.</w:t>
            </w:r>
          </w:p>
          <w:p w:rsidR="00B02683" w:rsidRPr="00B02683" w:rsidRDefault="00B02683" w:rsidP="00B02683">
            <w:pPr>
              <w:pStyle w:val="Style18"/>
              <w:widowControl/>
              <w:spacing w:before="134" w:line="360" w:lineRule="auto"/>
              <w:rPr>
                <w:rStyle w:val="FontStyle19"/>
                <w:sz w:val="28"/>
                <w:szCs w:val="28"/>
                <w:lang w:val="de-DE" w:eastAsia="de-DE"/>
              </w:rPr>
            </w:pPr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 xml:space="preserve">Der Vorsitzende stellt fest, dass damit die Tagesordnung erschöpft ist, und schließt die </w:t>
            </w:r>
            <w:r w:rsidRPr="00B0268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außerordentliche Hauptversammlung</w:t>
            </w:r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>.</w:t>
            </w:r>
          </w:p>
          <w:p w:rsidR="00B02683" w:rsidRDefault="00B02683" w:rsidP="00B026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lastRenderedPageBreak/>
              <w:t>Hierüber wurde dieses Protokoll aufgenommen, gelesen, genehmigt und unterfertigt.</w:t>
            </w:r>
          </w:p>
        </w:tc>
        <w:tc>
          <w:tcPr>
            <w:tcW w:w="4927" w:type="dxa"/>
          </w:tcPr>
          <w:p w:rsidR="00B02683" w:rsidRPr="00B02683" w:rsidRDefault="00B02683" w:rsidP="00B02683">
            <w:pPr>
              <w:pStyle w:val="Style18"/>
              <w:widowControl/>
              <w:spacing w:before="134" w:line="360" w:lineRule="auto"/>
              <w:rPr>
                <w:rStyle w:val="FontStyle19"/>
                <w:sz w:val="28"/>
                <w:szCs w:val="28"/>
                <w:lang w:eastAsia="de-DE"/>
              </w:rPr>
            </w:pPr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lastRenderedPageBreak/>
              <w:t xml:space="preserve">С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согласия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Наблюдательного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совета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одобряется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полномочие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правлению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на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увеличение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акционерного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капитала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компании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в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течении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r w:rsidRPr="00B02683">
              <w:rPr>
                <w:rStyle w:val="FontStyle19"/>
                <w:sz w:val="28"/>
                <w:szCs w:val="28"/>
                <w:lang w:eastAsia="de-DE"/>
              </w:rPr>
              <w:t>года</w:t>
            </w:r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с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момента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внесения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изменения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устава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в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торговом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реестре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– </w:t>
            </w:r>
            <w:r w:rsidRPr="00B02683">
              <w:rPr>
                <w:rStyle w:val="FontStyle19"/>
                <w:sz w:val="28"/>
                <w:szCs w:val="28"/>
                <w:lang w:eastAsia="de-DE"/>
              </w:rPr>
              <w:t>так же и за несколько траншей – путем выпуска до 3000 акций без номинальной стоимости на предъявителя и за исключением принадлежащего акционерам права на преимущественное приобретение акций путем денежных взносов, права на установление как  эмиссионного курса так и условий эмиссии ценных бумаг согласно с Наблюдательным советом (акционерный капитал, увеличенный за счёт выпуска новых акций). Наблюдательный совет имеет право принимать изменения в уставе, которые создаются путем выпуска акций из акционерного капитала,</w:t>
            </w:r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а так же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принимать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решение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 xml:space="preserve"> об </w:t>
            </w:r>
            <w:proofErr w:type="spellStart"/>
            <w:r w:rsidRPr="00B02683">
              <w:rPr>
                <w:rStyle w:val="FontStyle19"/>
                <w:sz w:val="28"/>
                <w:szCs w:val="28"/>
                <w:lang w:val="uk-UA" w:eastAsia="de-DE"/>
              </w:rPr>
              <w:t>изменении</w:t>
            </w:r>
            <w:proofErr w:type="spellEnd"/>
            <w:r w:rsidRPr="00B02683">
              <w:rPr>
                <w:rStyle w:val="FontStyle19"/>
                <w:sz w:val="28"/>
                <w:szCs w:val="28"/>
                <w:lang w:val="de-DE" w:eastAsia="de-DE"/>
              </w:rPr>
              <w:t xml:space="preserve"> 4</w:t>
            </w:r>
            <w:r w:rsidRPr="00B02683">
              <w:rPr>
                <w:rStyle w:val="FontStyle19"/>
                <w:sz w:val="28"/>
                <w:szCs w:val="28"/>
                <w:lang w:eastAsia="de-DE"/>
              </w:rPr>
              <w:t>-го параграфа статута.</w:t>
            </w:r>
          </w:p>
          <w:p w:rsidR="00B02683" w:rsidRPr="00B02683" w:rsidRDefault="00B02683" w:rsidP="00B02683">
            <w:pPr>
              <w:pStyle w:val="Style18"/>
              <w:widowControl/>
              <w:spacing w:before="134" w:line="360" w:lineRule="auto"/>
              <w:rPr>
                <w:rStyle w:val="FontStyle19"/>
                <w:sz w:val="28"/>
                <w:szCs w:val="28"/>
                <w:lang w:eastAsia="de-DE"/>
              </w:rPr>
            </w:pPr>
            <w:r w:rsidRPr="00B02683">
              <w:rPr>
                <w:rStyle w:val="FontStyle19"/>
                <w:sz w:val="28"/>
                <w:szCs w:val="28"/>
                <w:lang w:eastAsia="de-DE"/>
              </w:rPr>
              <w:t xml:space="preserve">После обсуждения председатель ставит заявку на голосование: она единогласно принимается. </w:t>
            </w:r>
          </w:p>
          <w:p w:rsidR="00B02683" w:rsidRPr="00B02683" w:rsidRDefault="00B02683" w:rsidP="00B02683">
            <w:pPr>
              <w:pStyle w:val="Style18"/>
              <w:widowControl/>
              <w:spacing w:before="134" w:line="360" w:lineRule="auto"/>
              <w:rPr>
                <w:rStyle w:val="FontStyle19"/>
                <w:sz w:val="28"/>
                <w:szCs w:val="28"/>
                <w:lang w:eastAsia="de-DE"/>
              </w:rPr>
            </w:pPr>
            <w:r w:rsidRPr="00B02683">
              <w:rPr>
                <w:rStyle w:val="FontStyle19"/>
                <w:sz w:val="28"/>
                <w:szCs w:val="28"/>
                <w:lang w:eastAsia="de-DE"/>
              </w:rPr>
              <w:t xml:space="preserve">Председатель отмечает, что на этом повестка дня исчерпана, и заканчивает внеочередное общее собрание </w:t>
            </w:r>
            <w:r w:rsidRPr="00B02683">
              <w:rPr>
                <w:rStyle w:val="FontStyle19"/>
                <w:sz w:val="28"/>
                <w:szCs w:val="28"/>
                <w:lang w:eastAsia="de-DE"/>
              </w:rPr>
              <w:lastRenderedPageBreak/>
              <w:t xml:space="preserve">акционеров. </w:t>
            </w:r>
          </w:p>
          <w:p w:rsidR="00B02683" w:rsidRDefault="00B02683" w:rsidP="00B026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683">
              <w:rPr>
                <w:rStyle w:val="FontStyle19"/>
                <w:sz w:val="28"/>
                <w:szCs w:val="28"/>
                <w:lang w:eastAsia="de-DE"/>
              </w:rPr>
              <w:t>При этом этот протокол был составлен, прочитан, одобрен и подписан.</w:t>
            </w:r>
          </w:p>
        </w:tc>
      </w:tr>
    </w:tbl>
    <w:p w:rsidR="002858D8" w:rsidRPr="00B02683" w:rsidRDefault="002858D8">
      <w:pPr>
        <w:rPr>
          <w:rFonts w:ascii="Times New Roman" w:hAnsi="Times New Roman" w:cs="Times New Roman"/>
          <w:sz w:val="28"/>
          <w:szCs w:val="28"/>
        </w:rPr>
      </w:pPr>
    </w:p>
    <w:sectPr w:rsidR="002858D8" w:rsidRPr="00B0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683"/>
    <w:rsid w:val="002858D8"/>
    <w:rsid w:val="00B0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B0268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B02683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2016-10-03T16:04:00Z</dcterms:created>
  <dcterms:modified xsi:type="dcterms:W3CDTF">2016-10-03T16:06:00Z</dcterms:modified>
</cp:coreProperties>
</file>